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D" w:rsidRDefault="00AC35FF" w:rsidP="00AC35FF">
      <w:pPr>
        <w:jc w:val="center"/>
        <w:rPr>
          <w:sz w:val="32"/>
          <w:szCs w:val="32"/>
        </w:rPr>
      </w:pPr>
      <w:r w:rsidRPr="00AC35FF">
        <w:rPr>
          <w:sz w:val="32"/>
          <w:szCs w:val="32"/>
        </w:rPr>
        <w:t>QEP Survey of faculty/staff/students February 2015</w:t>
      </w:r>
    </w:p>
    <w:tbl>
      <w:tblPr>
        <w:tblStyle w:val="TableGrid"/>
        <w:tblpPr w:leftFromText="180" w:rightFromText="180" w:vertAnchor="page" w:horzAnchor="margin" w:tblpY="2137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3123"/>
        <w:gridCol w:w="3251"/>
        <w:gridCol w:w="3251"/>
      </w:tblGrid>
      <w:tr w:rsidR="005564D6" w:rsidRPr="00502934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D175D">
              <w:rPr>
                <w:b/>
                <w:sz w:val="24"/>
                <w:szCs w:val="24"/>
              </w:rPr>
              <w:t>Topics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2934">
              <w:rPr>
                <w:b/>
                <w:sz w:val="24"/>
                <w:szCs w:val="24"/>
              </w:rPr>
              <w:t>Faculty</w:t>
            </w:r>
          </w:p>
          <w:p w:rsidR="005564D6" w:rsidRPr="00502934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251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2934">
              <w:rPr>
                <w:b/>
                <w:sz w:val="24"/>
                <w:szCs w:val="24"/>
              </w:rPr>
              <w:t>Staff</w:t>
            </w:r>
          </w:p>
          <w:p w:rsidR="005564D6" w:rsidRPr="00502934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3251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2934">
              <w:rPr>
                <w:b/>
                <w:sz w:val="24"/>
                <w:szCs w:val="24"/>
              </w:rPr>
              <w:t>Students</w:t>
            </w:r>
          </w:p>
          <w:p w:rsidR="005564D6" w:rsidRPr="00502934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Critical Thinking/Inquiry/Analysis</w:t>
            </w:r>
          </w:p>
          <w:p w:rsidR="005564D6" w:rsidRDefault="005564D6" w:rsidP="005564D6">
            <w:pPr>
              <w:spacing w:after="0" w:line="240" w:lineRule="auto"/>
            </w:pPr>
            <w:r>
              <w:t>57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Written and Oral Communication</w:t>
            </w:r>
          </w:p>
          <w:p w:rsidR="005564D6" w:rsidRDefault="005564D6" w:rsidP="005564D6">
            <w:pPr>
              <w:spacing w:after="0" w:line="240" w:lineRule="auto"/>
            </w:pPr>
            <w:r>
              <w:t>36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Foundations/Skills for College Success and Lifelong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66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Written and Oral Communication</w:t>
            </w:r>
          </w:p>
          <w:p w:rsidR="005564D6" w:rsidRDefault="005564D6" w:rsidP="005564D6">
            <w:pPr>
              <w:spacing w:after="0" w:line="240" w:lineRule="auto"/>
            </w:pPr>
            <w:r>
              <w:t>48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 xml:space="preserve">Critical Thinking/Inquiry/Analysis </w:t>
            </w:r>
          </w:p>
          <w:p w:rsidR="005564D6" w:rsidRDefault="005564D6" w:rsidP="005564D6">
            <w:pPr>
              <w:spacing w:after="0" w:line="240" w:lineRule="auto"/>
            </w:pPr>
            <w:r>
              <w:t>23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Written and Oral Communication</w:t>
            </w:r>
          </w:p>
          <w:p w:rsidR="005564D6" w:rsidRDefault="005564D6" w:rsidP="005564D6">
            <w:pPr>
              <w:spacing w:after="0" w:line="240" w:lineRule="auto"/>
            </w:pPr>
            <w:r>
              <w:t>58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Teamwork and Problem Solving</w:t>
            </w:r>
          </w:p>
          <w:p w:rsidR="005564D6" w:rsidRDefault="005564D6" w:rsidP="005564D6">
            <w:pPr>
              <w:spacing w:after="0" w:line="240" w:lineRule="auto"/>
            </w:pPr>
            <w:r>
              <w:t>23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Foundations/Skills for College Success and Lifelong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18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 xml:space="preserve">Critical Thinking/Inquiry/Analysis </w:t>
            </w:r>
          </w:p>
          <w:p w:rsidR="005564D6" w:rsidRDefault="005564D6" w:rsidP="005564D6">
            <w:pPr>
              <w:spacing w:after="0" w:line="240" w:lineRule="auto"/>
            </w:pPr>
            <w:r>
              <w:t>58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Civic Knowledge and Engagement – Local and Global</w:t>
            </w:r>
          </w:p>
          <w:p w:rsidR="005564D6" w:rsidRDefault="005564D6" w:rsidP="005564D6">
            <w:pPr>
              <w:spacing w:after="0" w:line="240" w:lineRule="auto"/>
            </w:pPr>
            <w:r>
              <w:t>21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Teamwork and Problem Solving</w:t>
            </w:r>
          </w:p>
          <w:p w:rsidR="005564D6" w:rsidRDefault="005564D6" w:rsidP="005564D6">
            <w:pPr>
              <w:spacing w:after="0" w:line="240" w:lineRule="auto"/>
            </w:pPr>
            <w:r>
              <w:t>16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Integrative and Applied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50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Integrative and Applied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20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Ethical Reasoning and Action/Leadership</w:t>
            </w:r>
          </w:p>
          <w:p w:rsidR="005564D6" w:rsidRDefault="005564D6" w:rsidP="005564D6">
            <w:pPr>
              <w:spacing w:after="0" w:line="240" w:lineRule="auto"/>
            </w:pPr>
            <w:r>
              <w:t>14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Teamwork and Problem Solving</w:t>
            </w:r>
          </w:p>
          <w:p w:rsidR="005564D6" w:rsidRDefault="005564D6" w:rsidP="005564D6">
            <w:pPr>
              <w:spacing w:after="0" w:line="240" w:lineRule="auto"/>
            </w:pPr>
            <w:r>
              <w:t>49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High Impact Practices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</w:pPr>
          </w:p>
        </w:tc>
        <w:tc>
          <w:tcPr>
            <w:tcW w:w="3251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</w:pPr>
          </w:p>
        </w:tc>
        <w:tc>
          <w:tcPr>
            <w:tcW w:w="3251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</w:pP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Internships /Simulations /Case-Based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46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FY Seminars &amp; Experiences/Orientation/Placement/ Developmental Ed/Advising</w:t>
            </w:r>
          </w:p>
          <w:p w:rsidR="005564D6" w:rsidRDefault="005564D6" w:rsidP="005564D6">
            <w:pPr>
              <w:spacing w:after="0" w:line="240" w:lineRule="auto"/>
            </w:pPr>
            <w:r>
              <w:t>30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Internships /Simulations /Case-Based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98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"[Skill] Across the Curriculum" /Writing /IL /CT/Reading-Intensive Courses</w:t>
            </w:r>
          </w:p>
          <w:p w:rsidR="005564D6" w:rsidRDefault="005564D6" w:rsidP="005564D6">
            <w:pPr>
              <w:spacing w:after="0" w:line="240" w:lineRule="auto"/>
            </w:pPr>
            <w:r>
              <w:t>39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Internships /Simulations /Case-Based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29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FY Seminars &amp; Experiences/Orientation/Placement/ Developmental Ed/Advising</w:t>
            </w:r>
          </w:p>
          <w:p w:rsidR="005564D6" w:rsidRDefault="005564D6" w:rsidP="005564D6">
            <w:pPr>
              <w:spacing w:after="0" w:line="240" w:lineRule="auto"/>
            </w:pPr>
            <w:r>
              <w:t>64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Capstone Courses and Projects /Integrative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32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"[Skill] Across the Curriculum" /Writing /IL /CT/Reading-Intensive Courses</w:t>
            </w:r>
          </w:p>
          <w:p w:rsidR="005564D6" w:rsidRDefault="005564D6" w:rsidP="005564D6">
            <w:pPr>
              <w:spacing w:after="0" w:line="240" w:lineRule="auto"/>
            </w:pPr>
            <w:r>
              <w:t>22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Undergraduate Research/Faculty Mentoring</w:t>
            </w:r>
          </w:p>
          <w:p w:rsidR="005564D6" w:rsidRDefault="005564D6" w:rsidP="005564D6">
            <w:pPr>
              <w:spacing w:after="0" w:line="240" w:lineRule="auto"/>
            </w:pPr>
            <w:r>
              <w:t>58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17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Undergraduate Research/Faculty Mentoring</w:t>
            </w:r>
          </w:p>
          <w:p w:rsidR="005564D6" w:rsidRDefault="005564D6" w:rsidP="005564D6">
            <w:pPr>
              <w:spacing w:after="0" w:line="240" w:lineRule="auto"/>
            </w:pPr>
            <w:r>
              <w:t>29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Service-Learning and Community-Based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17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Service-Learning and Community-Based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54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Pr="002D175D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FY Seminars &amp; Experiences/Orientation/Placement/ Developmental Ed/Advising</w:t>
            </w:r>
          </w:p>
          <w:p w:rsidR="005564D6" w:rsidRDefault="005564D6" w:rsidP="005564D6">
            <w:pPr>
              <w:spacing w:after="0" w:line="240" w:lineRule="auto"/>
            </w:pPr>
            <w:r>
              <w:t>23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Capstone Courses and Projects /Integrative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13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Diversity and Global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36</w:t>
            </w:r>
          </w:p>
        </w:tc>
      </w:tr>
      <w:tr w:rsidR="005564D6" w:rsidTr="005564D6">
        <w:tc>
          <w:tcPr>
            <w:tcW w:w="1165" w:type="dxa"/>
            <w:shd w:val="clear" w:color="auto" w:fill="F2F2F2" w:themeFill="background1" w:themeFillShade="F2"/>
          </w:tcPr>
          <w:p w:rsidR="005564D6" w:rsidRDefault="005564D6" w:rsidP="00556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5564D6" w:rsidRDefault="005564D6" w:rsidP="005564D6">
            <w:pPr>
              <w:spacing w:after="0" w:line="240" w:lineRule="auto"/>
            </w:pPr>
            <w:r>
              <w:t>Diversity and Global Learning</w:t>
            </w:r>
          </w:p>
          <w:p w:rsidR="005564D6" w:rsidRDefault="005564D6" w:rsidP="005564D6">
            <w:pPr>
              <w:spacing w:after="0" w:line="240" w:lineRule="auto"/>
            </w:pPr>
            <w:r>
              <w:t>23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Collaborative Assignments and Projects/Peer Tutoring/Supplemental Instruction</w:t>
            </w:r>
          </w:p>
          <w:p w:rsidR="005564D6" w:rsidRDefault="005564D6" w:rsidP="005564D6">
            <w:pPr>
              <w:spacing w:after="0" w:line="240" w:lineRule="auto"/>
            </w:pPr>
            <w:r>
              <w:t>12</w:t>
            </w:r>
          </w:p>
        </w:tc>
        <w:tc>
          <w:tcPr>
            <w:tcW w:w="3251" w:type="dxa"/>
          </w:tcPr>
          <w:p w:rsidR="005564D6" w:rsidRDefault="005564D6" w:rsidP="005564D6">
            <w:pPr>
              <w:spacing w:after="0" w:line="240" w:lineRule="auto"/>
            </w:pPr>
            <w:r>
              <w:t>"[Skill] Across the Curriculum" /Writing /IL /CT/Reading-Intensive Courses</w:t>
            </w:r>
          </w:p>
          <w:p w:rsidR="005564D6" w:rsidRDefault="005564D6" w:rsidP="005564D6">
            <w:pPr>
              <w:spacing w:after="0" w:line="240" w:lineRule="auto"/>
            </w:pPr>
            <w:r>
              <w:t>34</w:t>
            </w:r>
          </w:p>
        </w:tc>
      </w:tr>
    </w:tbl>
    <w:p w:rsidR="005564D6" w:rsidRDefault="005564D6" w:rsidP="005564D6">
      <w:pPr>
        <w:jc w:val="center"/>
        <w:rPr>
          <w:sz w:val="32"/>
          <w:szCs w:val="32"/>
        </w:rPr>
      </w:pPr>
      <w:r>
        <w:rPr>
          <w:sz w:val="32"/>
          <w:szCs w:val="32"/>
        </w:rPr>
        <w:t>Total Responses 295</w:t>
      </w:r>
    </w:p>
    <w:sectPr w:rsidR="005564D6" w:rsidSect="0055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365B3"/>
    <w:multiLevelType w:val="hybridMultilevel"/>
    <w:tmpl w:val="493E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25BAC"/>
    <w:multiLevelType w:val="hybridMultilevel"/>
    <w:tmpl w:val="2DE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47E7"/>
    <w:multiLevelType w:val="hybridMultilevel"/>
    <w:tmpl w:val="6F88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5D"/>
    <w:rsid w:val="00136715"/>
    <w:rsid w:val="001C47FB"/>
    <w:rsid w:val="002D175D"/>
    <w:rsid w:val="00493CDD"/>
    <w:rsid w:val="00502934"/>
    <w:rsid w:val="005564D6"/>
    <w:rsid w:val="00685706"/>
    <w:rsid w:val="006E001A"/>
    <w:rsid w:val="006E0EF7"/>
    <w:rsid w:val="00AC35FF"/>
    <w:rsid w:val="00C73D0C"/>
    <w:rsid w:val="00F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58FA7-8984-4BF3-9006-8DC122A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7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75D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D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James E. Colbert, Jr.</cp:lastModifiedBy>
  <cp:revision>8</cp:revision>
  <cp:lastPrinted>2015-02-11T20:35:00Z</cp:lastPrinted>
  <dcterms:created xsi:type="dcterms:W3CDTF">2015-02-11T20:19:00Z</dcterms:created>
  <dcterms:modified xsi:type="dcterms:W3CDTF">2015-02-12T14:19:00Z</dcterms:modified>
</cp:coreProperties>
</file>